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SEMINARIO: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71E4">
        <w:rPr>
          <w:rFonts w:ascii="Times New Roman" w:hAnsi="Times New Roman" w:cs="Times New Roman"/>
          <w:b/>
          <w:sz w:val="24"/>
          <w:szCs w:val="24"/>
        </w:rPr>
        <w:t xml:space="preserve"> Infancias y Juventudes.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Un r</w:t>
      </w:r>
      <w:r w:rsidR="006612CB">
        <w:rPr>
          <w:rFonts w:ascii="Times New Roman" w:hAnsi="Times New Roman" w:cs="Times New Roman"/>
          <w:b/>
          <w:sz w:val="24"/>
          <w:szCs w:val="24"/>
        </w:rPr>
        <w:t xml:space="preserve">ecorrido conceptual para </w:t>
      </w:r>
      <w:r w:rsidRPr="005C71E4">
        <w:rPr>
          <w:rFonts w:ascii="Times New Roman" w:hAnsi="Times New Roman" w:cs="Times New Roman"/>
          <w:b/>
          <w:sz w:val="24"/>
          <w:szCs w:val="24"/>
        </w:rPr>
        <w:t xml:space="preserve"> educadores.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 xml:space="preserve">Docente responsable: </w:t>
      </w:r>
      <w:r w:rsidRPr="005C71E4">
        <w:rPr>
          <w:rFonts w:ascii="Times New Roman" w:hAnsi="Times New Roman" w:cs="Times New Roman"/>
          <w:sz w:val="24"/>
          <w:szCs w:val="24"/>
        </w:rPr>
        <w:t>Victoria Zanón.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 xml:space="preserve">Modalidad: </w:t>
      </w:r>
      <w:r w:rsidRPr="005C71E4">
        <w:rPr>
          <w:rFonts w:ascii="Times New Roman" w:hAnsi="Times New Roman" w:cs="Times New Roman"/>
          <w:sz w:val="24"/>
          <w:szCs w:val="24"/>
        </w:rPr>
        <w:t>Seminario (24 horas reloj)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Carácter de la Capacitación:</w:t>
      </w:r>
      <w:r w:rsidRPr="005C71E4">
        <w:rPr>
          <w:rFonts w:ascii="Times New Roman" w:hAnsi="Times New Roman" w:cs="Times New Roman"/>
          <w:sz w:val="24"/>
          <w:szCs w:val="24"/>
        </w:rPr>
        <w:t xml:space="preserve"> Presencial.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Fundamentación.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La emergencia de la infancia y la juventud tal cual hoy la conocemos puede ubicarse en la primer parte del siglo XX. Se construye una imagen de niño asociada a la idea de “persona por formar” y se le da un especial lugar de formación: La escuela. La responsabilidad del estado sobre la niñez se plasma entonces en su derecho a la educación, entre otros. La interrelación es tal que, actualmente, en nuestro país, la escolaridad primaria es parte integral de las experiencias de la infancia.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 xml:space="preserve"> La juventud, por su parte, se construye asociada a la idea de moratoria y por lo tanto de futuro: los jóvenes eran aquellos que debían aplazar su llegada al mundo del trabajo, al mundo adulto, y finalmente entrar en él a través de determinadas trayectorias. Estas trayectorias tenían que ver con la reproducción de las instituciones modernas en la vida cotidiana: la formación de una familia, el pasaje escolar y la entrada al trabajo, la adquisición de ciertos derechos y obligaciones civiles, etc. Hoy, en un contexto de gran vulnerabilidad e incertidumbre, estas trayectorias se rompen o al menos se  pierde su certeza. Los distintos jóvenes se ven colocados frente a una situación local y global de nuevos problemas, a los cuales ni los adultos ni las instituciones dirigidas por ellos pueden aportar una respuesta certera. Es allí donde empiezan a imaginar, a crear nuevas respuestas, nuevas prácticas y nuevas representaciones sobre el mundo.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 xml:space="preserve">La tarea docente, en torno a los nuevos desafíos de las infancias y las juventudes, se complejiza. Su rol como puente intergeneracional y transmisor de la cultura del mundo adulto, a la vez que parte integrante y generadora de una cultura escolar, requiere de sensibilidad a las culturas infantiles y juveniles. Las instituciones, los dispositivos escolares, y los docentes, precisamos reconocer a niños, niñas  y jóvenes como sujetos de derecho, individuales, cuyas interpretaciones del mundo interaccionan (y muchas veces reaccionan) a las del mundo adulto. 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lastRenderedPageBreak/>
        <w:t>Encuadre Teórico: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Las Ciencias Sociales y Humanas se han encargado del estudio de la niñez y la juventud desde distintas disciplinas y miradas. Así, aportes de la Sociología, la Psicología, la Antropología y la Historia, se conjugan de forma de abarcar de forma compleja las problemáticas específicas de las infancias y juventudes. La pluralidad de acercamientos, nos llevan a un bricolaje teórico que puede nutrir la formación del docente con categorías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E4">
        <w:rPr>
          <w:rFonts w:ascii="Times New Roman" w:hAnsi="Times New Roman" w:cs="Times New Roman"/>
          <w:sz w:val="24"/>
          <w:szCs w:val="24"/>
        </w:rPr>
        <w:t>teóricas útiles para el análisis de la realidad de las aulas, tanto para abordar la especificidad de las juventudes e infancias, como para otras problemáticas dentro del hacer docente.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Desde conceptos abarcadores como las Representaciones Sociales, las Trayectorias, las  Culturas e Hibridización de Culturas, entre otras, buscaremos un análisis de las infancias y las juventudes, reconociendo en el plural, la complejidad y diversidad actual. Ello nos permitirá volver a la labor docente y referenciar la realidad de las instituciones educativas, dando pistas para reinterpetar el rol de los educadores en la sociedad.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 xml:space="preserve">Objetivos: 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En este curso, abordaremos la construcción de la infancia y la juventud a lo largo de la historia, como proveniente de una representación social. Analizaremos estas representaciones en relación a la cultura hegemónica y el desarrollo de la escuela como el espacio destinado a la infancia.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Presentar los desarrollos históricos de las representaciones sociales, al igual que los de las instituciones, colabora a desnaturalizar las imágenes implícitas sobre la infancia y la juventud.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Recuperaremos las formas de dar sentido a la vida de las culturas juveniles contemporáneas, haciendo hincapié en las continuidades y rupturas con generaciones anteriores. En función a estas nuevas formas de sentido, analizaremos el rol docente en la actualidad, y la coherencia ante las juventudes e infancias.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1E4">
        <w:rPr>
          <w:rFonts w:ascii="Times New Roman" w:hAnsi="Times New Roman" w:cs="Times New Roman"/>
          <w:i/>
          <w:sz w:val="24"/>
          <w:szCs w:val="24"/>
        </w:rPr>
        <w:t>Objetivos Generales.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Comprender las infancias y las juventudes como una construcción social, que responde a distintos momentos sociohistóricos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Analizar el rol de la Escuela en relación a niños, niñas y jóvenes.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Incorporar conceptos provenientes de las ciencias sociales y humanas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Construir una visión compleja del rol docente en relación a niños, niñas y jóvenes.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1E4">
        <w:rPr>
          <w:rFonts w:ascii="Times New Roman" w:hAnsi="Times New Roman" w:cs="Times New Roman"/>
          <w:i/>
          <w:sz w:val="24"/>
          <w:szCs w:val="24"/>
        </w:rPr>
        <w:t>Objetivos específicos.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Reconocer distintas representaciones sociales de niños, niñas y jóvenes a lo largo de la historia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lastRenderedPageBreak/>
        <w:t>Reconocer continuidades, rupturas y tensiones entre las distintas generaciones de niños, niñas y jóvenes.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Comprender los aportes de las distintas ciencias sociales y humanas al estudio de las infancias y juventudes y articularlos en función del rol docente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Conocer las problemáticas actuales de la niñez y la juventud.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Complejizar el rol docente en torno a las nuevas infancias y juventudes.</w:t>
      </w:r>
    </w:p>
    <w:p w:rsidR="000F34AC" w:rsidRPr="005C71E4" w:rsidRDefault="000F34AC" w:rsidP="000F34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Relacionar las problemáticas de la niñez y la juventud con el rol docente ampliado que actualmente se demanda en las instituciones educativas</w:t>
      </w:r>
    </w:p>
    <w:p w:rsidR="000F34AC" w:rsidRPr="005C71E4" w:rsidRDefault="000F34AC" w:rsidP="000F34A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Metodología.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pStyle w:val="Default"/>
        <w:jc w:val="both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</w:rPr>
        <w:t>Cada clase será un encuentro de trabajo sin distinción específica entre clases teóricas y prácticas. Este carácter teórico-práctico que queda demostrado en las diferentes</w:t>
      </w:r>
      <w:r>
        <w:rPr>
          <w:rFonts w:ascii="Times New Roman" w:hAnsi="Times New Roman" w:cs="Times New Roman"/>
        </w:rPr>
        <w:t xml:space="preserve"> </w:t>
      </w:r>
      <w:r w:rsidRPr="005C71E4">
        <w:rPr>
          <w:rFonts w:ascii="Times New Roman" w:hAnsi="Times New Roman" w:cs="Times New Roman"/>
        </w:rPr>
        <w:t xml:space="preserve">que se realizan para su cursado. Las actividades de aprendizaje que se llevarán a cabo son, entre otras: </w:t>
      </w:r>
    </w:p>
    <w:p w:rsidR="000F34AC" w:rsidRPr="005C71E4" w:rsidRDefault="000F34AC" w:rsidP="000F34AC">
      <w:pPr>
        <w:pStyle w:val="Default"/>
        <w:jc w:val="both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</w:rPr>
        <w:t xml:space="preserve"> Exposición dialogada. </w:t>
      </w:r>
    </w:p>
    <w:p w:rsidR="000F34AC" w:rsidRPr="005C71E4" w:rsidRDefault="000F34AC" w:rsidP="000F34AC">
      <w:pPr>
        <w:pStyle w:val="Default"/>
        <w:jc w:val="both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</w:rPr>
        <w:t xml:space="preserve"> Grupos de discusión </w:t>
      </w:r>
    </w:p>
    <w:p w:rsidR="000F34AC" w:rsidRPr="005C71E4" w:rsidRDefault="000F34AC" w:rsidP="000F34AC">
      <w:pPr>
        <w:pStyle w:val="Default"/>
        <w:jc w:val="both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</w:rPr>
        <w:t xml:space="preserve"> Análisis de videos. </w:t>
      </w:r>
    </w:p>
    <w:p w:rsidR="000F34AC" w:rsidRPr="005C71E4" w:rsidRDefault="000F34AC" w:rsidP="000F34AC">
      <w:pPr>
        <w:pStyle w:val="Default"/>
        <w:jc w:val="both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</w:rPr>
        <w:t xml:space="preserve"> Elaboración de trabajos prácticos. </w:t>
      </w:r>
    </w:p>
    <w:p w:rsidR="000F34AC" w:rsidRPr="005C71E4" w:rsidRDefault="000F34AC" w:rsidP="000F34AC">
      <w:pPr>
        <w:pStyle w:val="Default"/>
        <w:jc w:val="both"/>
        <w:rPr>
          <w:rFonts w:ascii="Times New Roman" w:hAnsi="Times New Roman" w:cs="Times New Roman"/>
        </w:rPr>
      </w:pPr>
    </w:p>
    <w:p w:rsidR="000F34AC" w:rsidRPr="005C71E4" w:rsidRDefault="000F34AC" w:rsidP="000F34AC">
      <w:pPr>
        <w:pStyle w:val="Default"/>
        <w:jc w:val="both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</w:rPr>
        <w:t xml:space="preserve">Se promoverá la participación activa de los alumnos para la construcción de los contenidos de la materia. 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Contenidos.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Construcción social de la Infancia</w:t>
      </w:r>
      <w:r w:rsidRPr="005C71E4">
        <w:rPr>
          <w:rFonts w:ascii="Times New Roman" w:hAnsi="Times New Roman" w:cs="Times New Roman"/>
          <w:sz w:val="24"/>
          <w:szCs w:val="24"/>
        </w:rPr>
        <w:t>. La escuela como espacio destinado a la infancia. Culturas escolares y culturas infantiles.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Emergencia histórica de la juventud.</w:t>
      </w:r>
      <w:r w:rsidRPr="005C71E4">
        <w:rPr>
          <w:rFonts w:ascii="Times New Roman" w:hAnsi="Times New Roman" w:cs="Times New Roman"/>
          <w:sz w:val="24"/>
          <w:szCs w:val="24"/>
        </w:rPr>
        <w:t xml:space="preserve"> Recorrido crítico por la cristalización de ciertos relatos: Los jóvenes rebeldes, los revolucionarios, los subversivos, los desinteresados, los perdidos, los delincuentes. La generación actual.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Niños, niñas y jóvenes como objeto de estudio en las ciencias sociales.</w:t>
      </w:r>
      <w:r w:rsidRPr="005C71E4">
        <w:rPr>
          <w:rFonts w:ascii="Times New Roman" w:hAnsi="Times New Roman" w:cs="Times New Roman"/>
          <w:sz w:val="24"/>
          <w:szCs w:val="24"/>
        </w:rPr>
        <w:t xml:space="preserve"> El concepto de generación en la juventud plural. Los estudios de género. 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lastRenderedPageBreak/>
        <w:t>Una época de crisis, continuidades y rupturas</w:t>
      </w:r>
      <w:r w:rsidRPr="005C71E4">
        <w:rPr>
          <w:rFonts w:ascii="Times New Roman" w:hAnsi="Times New Roman" w:cs="Times New Roman"/>
          <w:sz w:val="24"/>
          <w:szCs w:val="24"/>
        </w:rPr>
        <w:t>. Problemáticas actuales de la niñez y la juventud desde la información estadística disponible.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La escuela y los jóvenes</w:t>
      </w:r>
      <w:r w:rsidRPr="005C71E4">
        <w:rPr>
          <w:rFonts w:ascii="Times New Roman" w:hAnsi="Times New Roman" w:cs="Times New Roman"/>
          <w:sz w:val="24"/>
          <w:szCs w:val="24"/>
        </w:rPr>
        <w:t>. Las tensiones en torno a enseñar, cuidar y asistir: debates para la formación y el oficio docente.</w:t>
      </w:r>
    </w:p>
    <w:p w:rsidR="000F34AC" w:rsidRPr="005C71E4" w:rsidRDefault="000F34AC" w:rsidP="000F34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 xml:space="preserve">Recursos 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Cañon y pc.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Espacio virtual para el seguimiento (grupo de correo, aula virtual, grupo en facebook, u otro)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Destinatarios: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 xml:space="preserve">Dirigido a estudiantes del último año de los Profesorados en Arte, egresados del IUPA, Docentes de nivel primario, secundario y superior. 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Tiempo de realización: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Cronograma tentativo: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35"/>
        <w:gridCol w:w="1984"/>
        <w:gridCol w:w="2126"/>
      </w:tblGrid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71E4">
              <w:rPr>
                <w:b/>
                <w:sz w:val="24"/>
                <w:szCs w:val="24"/>
              </w:rPr>
              <w:t>Clase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71E4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71E4">
              <w:rPr>
                <w:b/>
                <w:sz w:val="24"/>
                <w:szCs w:val="24"/>
              </w:rPr>
              <w:t>Horario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Presentación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Sábado 2 -5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9:00 a 12:00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Clase 1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Sábado 30-5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9:00 a 12:00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Clase 2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Jueves 18-6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18:30 a 21:30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Clase 3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Sábado 27-6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9:00 a 12:00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Clase 4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Sábado 15-8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9:00 a 12:00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 xml:space="preserve">Clase 5 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Sábado 12-9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9:00 a 12:00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Clase 6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Sábado 26-9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9:00 a 12:00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Clase 7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Sábado 3-10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9:00 a 12:00</w:t>
            </w:r>
          </w:p>
        </w:tc>
      </w:tr>
      <w:tr w:rsidR="000F34AC" w:rsidRPr="005C71E4" w:rsidTr="00FC27DF">
        <w:trPr>
          <w:jc w:val="center"/>
        </w:trPr>
        <w:tc>
          <w:tcPr>
            <w:tcW w:w="2235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Clase 8 y cierre.</w:t>
            </w:r>
          </w:p>
        </w:tc>
        <w:tc>
          <w:tcPr>
            <w:tcW w:w="1984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Sábado 17-10</w:t>
            </w:r>
          </w:p>
        </w:tc>
        <w:tc>
          <w:tcPr>
            <w:tcW w:w="2126" w:type="dxa"/>
          </w:tcPr>
          <w:p w:rsidR="000F34AC" w:rsidRPr="005C71E4" w:rsidRDefault="000F34AC" w:rsidP="00FC27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1E4">
              <w:rPr>
                <w:sz w:val="24"/>
                <w:szCs w:val="24"/>
              </w:rPr>
              <w:t>9:00 a 12:00</w:t>
            </w:r>
          </w:p>
        </w:tc>
      </w:tr>
    </w:tbl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Resultados esperados: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Se espera llevar a debate el rol docente actual en relación a las infancias y las juventudes, buscando una sensibilidad a las nuevas culturas de niños, niñas y jóvenes. Se espera reconocer las tensiones entre las culturas infantiles y juveniles y la cultura escolar.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lastRenderedPageBreak/>
        <w:t>Se espera incorporar al análisis de las infancias y juventudes los distintos conceptos que proponen las Ciencias Sociales y humanas.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Actividades: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Se proponen clases teórico-prácticas.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Exposiciones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Análisis de la bibliografía y videos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Grupos de discusión.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Trabajos prácticos de análisis de casos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Construcción de una monografía final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Evaluación.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 xml:space="preserve">Se propone la realización de dos pequeños trabajos prácticos y una monografía final de profundización sobre alguno de los temas abarcados en el seminario. 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Se recomienda una asistencia al 80% de las clases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sz w:val="24"/>
          <w:szCs w:val="24"/>
        </w:rPr>
        <w:t>Para acreditar el seminario, deberán aprobarse los dos trabajos prácticos y la monografía final.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AC" w:rsidRPr="005C71E4" w:rsidRDefault="000F34AC" w:rsidP="000F34AC">
      <w:pPr>
        <w:rPr>
          <w:rFonts w:ascii="Times New Roman" w:hAnsi="Times New Roman" w:cs="Times New Roman"/>
          <w:sz w:val="24"/>
          <w:szCs w:val="24"/>
        </w:rPr>
      </w:pPr>
      <w:r w:rsidRPr="005C71E4">
        <w:rPr>
          <w:rFonts w:ascii="Times New Roman" w:hAnsi="Times New Roman" w:cs="Times New Roman"/>
          <w:b/>
          <w:sz w:val="24"/>
          <w:szCs w:val="24"/>
        </w:rPr>
        <w:t>Bibliografía.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</w:rPr>
      </w:pPr>
      <w:r w:rsidRPr="005C71E4">
        <w:rPr>
          <w:rFonts w:ascii="Times New Roman" w:hAnsi="Times New Roman" w:cs="Times New Roman"/>
          <w:bCs/>
          <w:iCs/>
        </w:rPr>
        <w:t xml:space="preserve">Alvarado, S.*Martínez Posada, J. Muñoz Gaviria, D. </w:t>
      </w:r>
      <w:r w:rsidRPr="005C71E4">
        <w:rPr>
          <w:rFonts w:ascii="Times New Roman" w:hAnsi="Times New Roman" w:cs="Times New Roman"/>
        </w:rPr>
        <w:t xml:space="preserve">(2009)  </w:t>
      </w:r>
      <w:r w:rsidRPr="005C71E4">
        <w:rPr>
          <w:rFonts w:ascii="Times New Roman" w:hAnsi="Times New Roman" w:cs="Times New Roman"/>
          <w:bCs/>
          <w:i/>
        </w:rPr>
        <w:t>Contextualización teórica al tema de las juventudes: una mirada desde las ciencias sociales a la juventud</w:t>
      </w:r>
      <w:r w:rsidRPr="005C71E4">
        <w:rPr>
          <w:rFonts w:ascii="Times New Roman" w:hAnsi="Times New Roman" w:cs="Times New Roman"/>
          <w:i/>
        </w:rPr>
        <w:t xml:space="preserve"> </w:t>
      </w:r>
      <w:r w:rsidRPr="005C71E4">
        <w:rPr>
          <w:rFonts w:ascii="Times New Roman" w:hAnsi="Times New Roman" w:cs="Times New Roman"/>
        </w:rPr>
        <w:t xml:space="preserve">Rev.latinoam.cienc.soc.niñez juv 7(1): 83-102, </w:t>
      </w:r>
      <w:hyperlink r:id="rId7" w:history="1">
        <w:r w:rsidRPr="005C71E4">
          <w:rPr>
            <w:rStyle w:val="Hipervnculo"/>
            <w:rFonts w:ascii="Times New Roman" w:hAnsi="Times New Roman" w:cs="Times New Roman"/>
          </w:rPr>
          <w:t>http://www.umanizales.edu.co/revistacinde/index.html</w:t>
        </w:r>
      </w:hyperlink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</w:rPr>
        <w:t xml:space="preserve">Aparicio, P.(2009) </w:t>
      </w:r>
      <w:r w:rsidRPr="005C71E4">
        <w:rPr>
          <w:rFonts w:ascii="Times New Roman" w:hAnsi="Times New Roman" w:cs="Times New Roman"/>
          <w:i/>
        </w:rPr>
        <w:t>Incidencia de las reformas estructurales en la juventud argentina. Transformaciones, tensiones, desafíos</w:t>
      </w:r>
      <w:r w:rsidRPr="005C71E4">
        <w:rPr>
          <w:rFonts w:ascii="Times New Roman" w:hAnsi="Times New Roman" w:cs="Times New Roman"/>
        </w:rPr>
        <w:t>.* Rev.latinoam.cienc.soc.niñez juv 7(1): 155-177, http://www.umanizales.edu.co/revistacinde/index.html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  <w:bCs/>
        </w:rPr>
        <w:t xml:space="preserve">CEPAL (2008). </w:t>
      </w:r>
      <w:r w:rsidRPr="005C71E4">
        <w:rPr>
          <w:rFonts w:ascii="Times New Roman" w:hAnsi="Times New Roman" w:cs="Times New Roman"/>
        </w:rPr>
        <w:t>Juventud y cohesión social en Iberoamérica: un modelo para armar. Santiago de Chile. Naciones Unidas.</w:t>
      </w:r>
    </w:p>
    <w:p w:rsidR="000F34AC" w:rsidRPr="005C71E4" w:rsidRDefault="000F34AC" w:rsidP="000F34AC">
      <w:pPr>
        <w:pStyle w:val="NormalWeb"/>
        <w:spacing w:before="120" w:beforeAutospacing="0" w:after="0" w:afterAutospacing="0"/>
        <w:ind w:left="709" w:hanging="709"/>
        <w:rPr>
          <w:sz w:val="22"/>
          <w:szCs w:val="22"/>
        </w:rPr>
      </w:pPr>
      <w:r w:rsidRPr="005C71E4">
        <w:rPr>
          <w:sz w:val="22"/>
          <w:szCs w:val="22"/>
        </w:rPr>
        <w:t xml:space="preserve">Favilli, G. Niños del cielo (Irán, 1997) </w:t>
      </w:r>
      <w:hyperlink r:id="rId8" w:tgtFrame="_blank" w:history="1">
        <w:r w:rsidRPr="005C71E4">
          <w:rPr>
            <w:rStyle w:val="Hipervnculo"/>
            <w:rFonts w:eastAsiaTheme="minorEastAsia"/>
            <w:sz w:val="22"/>
            <w:szCs w:val="22"/>
          </w:rPr>
          <w:t xml:space="preserve">Click aquí </w:t>
        </w:r>
      </w:hyperlink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  <w:bCs/>
        </w:rPr>
        <w:t>Krauskopf, D. (2000) “</w:t>
      </w:r>
      <w:r w:rsidRPr="005C71E4">
        <w:rPr>
          <w:rFonts w:ascii="Times New Roman" w:hAnsi="Times New Roman" w:cs="Times New Roman"/>
          <w:iCs/>
        </w:rPr>
        <w:t>Dimensiones críticas en la participación social de las juventudes”</w:t>
      </w:r>
      <w:r w:rsidRPr="005C71E4">
        <w:rPr>
          <w:rFonts w:ascii="Times New Roman" w:hAnsi="Times New Roman" w:cs="Times New Roman"/>
          <w:bCs/>
        </w:rPr>
        <w:t xml:space="preserve">  en La participación social y política de los jóvenes en el horizonte del nuevo siglo. Sergio Balardini </w:t>
      </w:r>
      <w:r w:rsidRPr="005C71E4">
        <w:rPr>
          <w:rFonts w:ascii="Times New Roman" w:hAnsi="Times New Roman" w:cs="Times New Roman"/>
        </w:rPr>
        <w:t>(Compilador) Buenos Aires: CLACSO.</w:t>
      </w: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0F34AC" w:rsidRPr="005C71E4" w:rsidRDefault="000F34AC" w:rsidP="000F34AC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  <w:r w:rsidRPr="005C71E4">
        <w:rPr>
          <w:rFonts w:ascii="Times New Roman" w:hAnsi="Times New Roman" w:cs="Times New Roman"/>
          <w:sz w:val="22"/>
          <w:szCs w:val="22"/>
        </w:rPr>
        <w:t>Merino Malillos, L. (2010) “Nativos Digitales: Una aproximación a la socialización tecnológica de los jóvenes”. Tesis de Doctorado. Madrid, Instituto de la Juventud.</w:t>
      </w:r>
    </w:p>
    <w:p w:rsidR="000F34AC" w:rsidRPr="005C71E4" w:rsidRDefault="000F34AC" w:rsidP="000F34AC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0F34AC" w:rsidRPr="005C71E4" w:rsidRDefault="000F34AC" w:rsidP="000F34AC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  <w:r w:rsidRPr="005C71E4">
        <w:rPr>
          <w:rFonts w:ascii="Times New Roman" w:hAnsi="Times New Roman" w:cs="Times New Roman"/>
          <w:sz w:val="22"/>
          <w:szCs w:val="22"/>
        </w:rPr>
        <w:lastRenderedPageBreak/>
        <w:t xml:space="preserve">Muñoz Carrión, A. (2007) </w:t>
      </w:r>
      <w:r w:rsidRPr="005C71E4">
        <w:rPr>
          <w:rFonts w:ascii="Times New Roman" w:hAnsi="Times New Roman" w:cs="Times New Roman"/>
          <w:i/>
          <w:color w:val="auto"/>
          <w:sz w:val="22"/>
          <w:szCs w:val="22"/>
        </w:rPr>
        <w:t>Tácticas de comunicación juvenil: intervenciones estéticas</w:t>
      </w:r>
      <w:r w:rsidRPr="005C71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71E4">
        <w:rPr>
          <w:rFonts w:ascii="Times New Roman" w:hAnsi="Times New Roman" w:cs="Times New Roman"/>
          <w:sz w:val="22"/>
          <w:szCs w:val="22"/>
        </w:rPr>
        <w:t>REVISTA DE ESTUDIOS DE JUVENTUD ≥ septiembre 07 | nº 78</w:t>
      </w:r>
    </w:p>
    <w:p w:rsidR="000F34AC" w:rsidRPr="005C71E4" w:rsidRDefault="000F34AC" w:rsidP="000F34AC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0F34AC" w:rsidRPr="005C71E4" w:rsidRDefault="000F34AC" w:rsidP="000F34AC">
      <w:pPr>
        <w:pStyle w:val="NormalWeb"/>
        <w:spacing w:before="120" w:beforeAutospacing="0" w:after="0" w:afterAutospacing="0"/>
        <w:ind w:left="709" w:hanging="709"/>
        <w:rPr>
          <w:sz w:val="22"/>
          <w:szCs w:val="22"/>
        </w:rPr>
      </w:pPr>
      <w:r w:rsidRPr="005C71E4">
        <w:rPr>
          <w:sz w:val="22"/>
          <w:szCs w:val="22"/>
        </w:rPr>
        <w:t xml:space="preserve">Popkewitz, T. (2002). Diploma de curriculum y prácticas escolares en contexto. FLACSO. Clase virtual 10. Discursos pedagógicos y </w:t>
      </w:r>
      <w:hyperlink r:id="rId9" w:tooltip="Glosario de Ciencias Sociales: poder" w:history="1">
        <w:r w:rsidRPr="005C71E4">
          <w:rPr>
            <w:rStyle w:val="Hipervnculo"/>
            <w:rFonts w:eastAsiaTheme="minorEastAsia"/>
            <w:sz w:val="22"/>
            <w:szCs w:val="22"/>
          </w:rPr>
          <w:t>poder</w:t>
        </w:r>
      </w:hyperlink>
      <w:r w:rsidRPr="005C71E4">
        <w:rPr>
          <w:sz w:val="22"/>
          <w:szCs w:val="22"/>
        </w:rPr>
        <w:t>: la producción de la niñez normalizada.</w:t>
      </w:r>
    </w:p>
    <w:p w:rsidR="000F34AC" w:rsidRPr="005C71E4" w:rsidRDefault="000F34AC" w:rsidP="000F34AC">
      <w:pPr>
        <w:pStyle w:val="Default"/>
        <w:rPr>
          <w:rFonts w:ascii="Times New Roman" w:hAnsi="Times New Roman" w:cs="Times New Roman"/>
          <w:sz w:val="22"/>
          <w:szCs w:val="22"/>
          <w:lang w:val="es-ES"/>
        </w:rPr>
      </w:pPr>
    </w:p>
    <w:p w:rsidR="000F34AC" w:rsidRPr="005C71E4" w:rsidRDefault="000F34AC" w:rsidP="000F34AC">
      <w:pPr>
        <w:spacing w:line="240" w:lineRule="auto"/>
        <w:ind w:left="709" w:hanging="709"/>
        <w:rPr>
          <w:rFonts w:ascii="Times New Roman" w:eastAsia="Times New Roman" w:hAnsi="Times New Roman" w:cs="Times New Roman"/>
          <w:lang w:eastAsia="es-AR"/>
        </w:rPr>
      </w:pPr>
      <w:r w:rsidRPr="005C71E4">
        <w:rPr>
          <w:rFonts w:ascii="Times New Roman" w:hAnsi="Times New Roman" w:cs="Times New Roman"/>
        </w:rPr>
        <w:t xml:space="preserve">Reguillo Cruz, R. </w:t>
      </w:r>
      <w:r w:rsidRPr="005C71E4">
        <w:rPr>
          <w:rFonts w:ascii="Times New Roman" w:eastAsia="Times New Roman" w:hAnsi="Times New Roman" w:cs="Times New Roman"/>
          <w:lang w:eastAsia="es-AR"/>
        </w:rPr>
        <w:t>(2000) “Las culturas juveniles: un campo de estudio; breve agenda para la discusión.” En G.M. Carrasco, Gabriel Medina (comp.).Aproximaciones a la diversidad juvenil. México: El Colegio de México, Centro de Estudios Sociológicos.</w:t>
      </w:r>
    </w:p>
    <w:p w:rsidR="000F34AC" w:rsidRPr="005C71E4" w:rsidRDefault="000F34AC" w:rsidP="000F34AC">
      <w:pPr>
        <w:pStyle w:val="NormalWeb"/>
        <w:spacing w:before="120" w:beforeAutospacing="0" w:after="0" w:afterAutospacing="0"/>
        <w:ind w:left="709" w:hanging="709"/>
        <w:rPr>
          <w:sz w:val="22"/>
          <w:szCs w:val="22"/>
        </w:rPr>
      </w:pPr>
      <w:r w:rsidRPr="005C71E4">
        <w:rPr>
          <w:sz w:val="22"/>
          <w:szCs w:val="22"/>
        </w:rPr>
        <w:t>Reguillo Cruz, R. (2000). Emergencia de culturas juveniles. Estrategias del desencanto. Editorial Norma: Buenos Aires.</w:t>
      </w:r>
    </w:p>
    <w:p w:rsidR="000F34AC" w:rsidRPr="005C71E4" w:rsidRDefault="000F34AC" w:rsidP="000F34AC">
      <w:pPr>
        <w:pStyle w:val="Default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0F34AC" w:rsidRPr="005C71E4" w:rsidRDefault="000F34AC" w:rsidP="000F34AC">
      <w:pPr>
        <w:spacing w:line="240" w:lineRule="auto"/>
        <w:ind w:left="709" w:hanging="709"/>
        <w:rPr>
          <w:rFonts w:ascii="Times New Roman" w:eastAsia="Times New Roman" w:hAnsi="Times New Roman" w:cs="Times New Roman"/>
          <w:lang w:eastAsia="es-AR"/>
        </w:rPr>
      </w:pPr>
      <w:r w:rsidRPr="005C71E4">
        <w:rPr>
          <w:rFonts w:ascii="Times New Roman" w:hAnsi="Times New Roman" w:cs="Times New Roman"/>
        </w:rPr>
        <w:t xml:space="preserve">Tenti Fanfani, E. (2000) </w:t>
      </w:r>
      <w:r w:rsidRPr="005C71E4">
        <w:rPr>
          <w:rFonts w:ascii="Times New Roman" w:eastAsia="Times New Roman" w:hAnsi="Times New Roman" w:cs="Times New Roman"/>
          <w:lang w:eastAsia="es-AR"/>
        </w:rPr>
        <w:t>CULTURAS JUVENILES Y CULTURA ESCOLAR</w:t>
      </w:r>
      <w:r w:rsidRPr="005C71E4">
        <w:rPr>
          <w:rFonts w:ascii="Times New Roman" w:hAnsi="Times New Roman" w:cs="Times New Roman"/>
        </w:rPr>
        <w:t xml:space="preserve"> </w:t>
      </w:r>
      <w:r w:rsidRPr="005C71E4">
        <w:rPr>
          <w:rFonts w:ascii="Times New Roman" w:eastAsia="Times New Roman" w:hAnsi="Times New Roman" w:cs="Times New Roman"/>
          <w:lang w:eastAsia="es-AR"/>
        </w:rPr>
        <w:t xml:space="preserve">Documento presentado al seminario “Escola Jovem: un novo olhar sobre o ensino médio”, organizado por el Ministerio da Educaçao. Secretaria de Educaçao Média e Tecnológica. Coordenaçao-Geral de Ensino Médio (Brasilia, junio 7-9 de 2000). </w:t>
      </w:r>
    </w:p>
    <w:p w:rsidR="000F34AC" w:rsidRPr="005C71E4" w:rsidRDefault="000F34AC" w:rsidP="000F34AC">
      <w:pPr>
        <w:pStyle w:val="NormalWeb"/>
        <w:spacing w:before="120" w:beforeAutospacing="0" w:after="0" w:afterAutospacing="0"/>
        <w:ind w:left="709" w:hanging="709"/>
        <w:rPr>
          <w:sz w:val="22"/>
          <w:szCs w:val="22"/>
          <w:lang w:val="es-AR"/>
        </w:rPr>
      </w:pPr>
      <w:r w:rsidRPr="005C71E4">
        <w:rPr>
          <w:sz w:val="22"/>
          <w:szCs w:val="22"/>
        </w:rPr>
        <w:t xml:space="preserve">Urresti, M. Cambio de escenarios sociales, experiencia juvenil urbana y escuela. </w:t>
      </w:r>
      <w:r w:rsidRPr="005C71E4">
        <w:rPr>
          <w:sz w:val="22"/>
          <w:szCs w:val="22"/>
          <w:lang w:val="es-AR"/>
        </w:rPr>
        <w:t xml:space="preserve">En </w:t>
      </w:r>
      <w:hyperlink r:id="rId10" w:tgtFrame="_blank" w:history="1">
        <w:r w:rsidRPr="005C71E4">
          <w:rPr>
            <w:rStyle w:val="Hipervnculo"/>
            <w:rFonts w:eastAsiaTheme="minorEastAsia"/>
            <w:sz w:val="22"/>
            <w:szCs w:val="22"/>
            <w:lang w:val="es-AR"/>
          </w:rPr>
          <w:t xml:space="preserve">Click aquí </w:t>
        </w:r>
      </w:hyperlink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0F34AC" w:rsidRPr="005C71E4" w:rsidRDefault="000F34AC" w:rsidP="000F34A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5C71E4">
        <w:rPr>
          <w:rFonts w:ascii="Times New Roman" w:hAnsi="Times New Roman" w:cs="Times New Roman"/>
          <w:bCs/>
        </w:rPr>
        <w:t>Urresti, M. (2000) “</w:t>
      </w:r>
      <w:r w:rsidRPr="005C71E4">
        <w:rPr>
          <w:rFonts w:ascii="Times New Roman" w:hAnsi="Times New Roman" w:cs="Times New Roman"/>
          <w:iCs/>
        </w:rPr>
        <w:t>Paradigmas de participación juvenil: un balance histórico</w:t>
      </w:r>
      <w:r w:rsidRPr="005C71E4">
        <w:rPr>
          <w:rFonts w:ascii="Times New Roman" w:hAnsi="Times New Roman" w:cs="Times New Roman"/>
          <w:i/>
          <w:iCs/>
        </w:rPr>
        <w:t xml:space="preserve">”. </w:t>
      </w:r>
      <w:r w:rsidRPr="005C71E4">
        <w:rPr>
          <w:rFonts w:ascii="Times New Roman" w:hAnsi="Times New Roman" w:cs="Times New Roman"/>
          <w:bCs/>
        </w:rPr>
        <w:t xml:space="preserve">En La participación social y política de los jóvenes en el horizonte del nuevo siglo. Sergio Balardini </w:t>
      </w:r>
      <w:r w:rsidRPr="005C71E4">
        <w:rPr>
          <w:rFonts w:ascii="Times New Roman" w:hAnsi="Times New Roman" w:cs="Times New Roman"/>
        </w:rPr>
        <w:t>(Compilador) Buenos Aires: CLACSO.</w:t>
      </w:r>
    </w:p>
    <w:p w:rsidR="000F34AC" w:rsidRPr="00D94F91" w:rsidRDefault="000F34AC" w:rsidP="000F34AC"/>
    <w:p w:rsidR="00055081" w:rsidRDefault="00055081"/>
    <w:sectPr w:rsidR="00055081" w:rsidSect="00192870">
      <w:headerReference w:type="default" r:id="rId11"/>
      <w:footerReference w:type="default" r:id="rId12"/>
      <w:pgSz w:w="11906" w:h="16838"/>
      <w:pgMar w:top="1701" w:right="1418" w:bottom="1701" w:left="1418" w:header="1134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7B" w:rsidRDefault="00CB227B" w:rsidP="00CF67FA">
      <w:pPr>
        <w:spacing w:after="0" w:line="240" w:lineRule="auto"/>
      </w:pPr>
      <w:r>
        <w:separator/>
      </w:r>
    </w:p>
  </w:endnote>
  <w:endnote w:type="continuationSeparator" w:id="0">
    <w:p w:rsidR="00CB227B" w:rsidRDefault="00CB227B" w:rsidP="00C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B" w:rsidRDefault="000F34AC">
    <w:pPr>
      <w:pStyle w:val="Piedepgina"/>
      <w:jc w:val="center"/>
    </w:pPr>
    <w:r>
      <w:rPr>
        <w:noProof/>
        <w:lang w:eastAsia="es-AR" w:bidi="ar-SA"/>
      </w:rPr>
      <w:drawing>
        <wp:inline distT="0" distB="0" distL="0" distR="0">
          <wp:extent cx="5385435" cy="540385"/>
          <wp:effectExtent l="0" t="0" r="0" b="0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7B" w:rsidRDefault="00CB227B" w:rsidP="00CF67FA">
      <w:pPr>
        <w:spacing w:after="0" w:line="240" w:lineRule="auto"/>
      </w:pPr>
      <w:r>
        <w:separator/>
      </w:r>
    </w:p>
  </w:footnote>
  <w:footnote w:type="continuationSeparator" w:id="0">
    <w:p w:rsidR="00CB227B" w:rsidRDefault="00CB227B" w:rsidP="00CF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B" w:rsidRDefault="000F34AC">
    <w:pPr>
      <w:pStyle w:val="Encabezamiento"/>
      <w:jc w:val="center"/>
    </w:pPr>
    <w:r>
      <w:rPr>
        <w:noProof/>
        <w:lang w:eastAsia="es-AR" w:bidi="ar-SA"/>
      </w:rPr>
      <w:drawing>
        <wp:inline distT="0" distB="0" distL="0" distR="0">
          <wp:extent cx="1200785" cy="1377950"/>
          <wp:effectExtent l="0" t="0" r="0" b="0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DCA"/>
    <w:multiLevelType w:val="hybridMultilevel"/>
    <w:tmpl w:val="E5DCB7DE"/>
    <w:lvl w:ilvl="0" w:tplc="EA0680C0">
      <w:numFmt w:val="bullet"/>
      <w:lvlText w:val="-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34C"/>
    <w:multiLevelType w:val="hybridMultilevel"/>
    <w:tmpl w:val="48B4A7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4AC"/>
    <w:rsid w:val="00055081"/>
    <w:rsid w:val="000F34AC"/>
    <w:rsid w:val="000F44EF"/>
    <w:rsid w:val="00213F61"/>
    <w:rsid w:val="006612CB"/>
    <w:rsid w:val="00B5310D"/>
    <w:rsid w:val="00CB227B"/>
    <w:rsid w:val="00C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A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0F34AC"/>
    <w:pPr>
      <w:widowControl w:val="0"/>
      <w:suppressLineNumbers/>
      <w:tabs>
        <w:tab w:val="left" w:pos="709"/>
        <w:tab w:val="center" w:pos="4819"/>
        <w:tab w:val="right" w:pos="963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val="es-AR" w:eastAsia="zh-CN" w:bidi="hi-IN"/>
    </w:rPr>
  </w:style>
  <w:style w:type="paragraph" w:styleId="Piedepgina">
    <w:name w:val="footer"/>
    <w:basedOn w:val="Normal"/>
    <w:link w:val="PiedepginaCar"/>
    <w:rsid w:val="000F34AC"/>
    <w:pPr>
      <w:widowControl w:val="0"/>
      <w:suppressLineNumbers/>
      <w:tabs>
        <w:tab w:val="left" w:pos="709"/>
        <w:tab w:val="center" w:pos="4819"/>
        <w:tab w:val="right" w:pos="963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val="es-AR" w:eastAsia="zh-CN" w:bidi="hi-IN"/>
    </w:rPr>
  </w:style>
  <w:style w:type="character" w:customStyle="1" w:styleId="PiedepginaCar">
    <w:name w:val="Pie de página Car"/>
    <w:basedOn w:val="Fuentedeprrafopredeter"/>
    <w:link w:val="Piedepgina"/>
    <w:rsid w:val="000F34AC"/>
    <w:rPr>
      <w:rFonts w:ascii="Times New Roman" w:eastAsia="Droid Sans Fallback" w:hAnsi="Times New Roman" w:cs="Lohit Hindi"/>
      <w:color w:val="00000A"/>
      <w:sz w:val="24"/>
      <w:szCs w:val="24"/>
      <w:lang w:val="es-AR" w:eastAsia="zh-CN" w:bidi="hi-IN"/>
    </w:rPr>
  </w:style>
  <w:style w:type="table" w:styleId="Tablaconcuadrcula">
    <w:name w:val="Table Grid"/>
    <w:basedOn w:val="Tablanormal"/>
    <w:uiPriority w:val="59"/>
    <w:rsid w:val="000F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34AC"/>
    <w:pPr>
      <w:ind w:left="720"/>
      <w:contextualSpacing/>
    </w:pPr>
  </w:style>
  <w:style w:type="paragraph" w:customStyle="1" w:styleId="Default">
    <w:name w:val="Default"/>
    <w:rsid w:val="000F3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0F34AC"/>
    <w:rPr>
      <w:color w:val="0000FF" w:themeColor="hyperlink"/>
      <w:u w:val="single"/>
    </w:rPr>
  </w:style>
  <w:style w:type="paragraph" w:styleId="NormalWeb">
    <w:name w:val="Normal (Web)"/>
    <w:basedOn w:val="Normal"/>
    <w:rsid w:val="000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4AC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tico.buenosaires.gov.ar/areas/educacion/cepa/ninosdelciel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anizales.edu.co/revistacinde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ei.org.ar/edumedia/pdfs/T01_Docu1_Cambiodeescenariossociales_Urre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l.flacso.org.ar/mod/glossary/showentry.php?courseid=706&amp;concept=pod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9165</Characters>
  <Application>Microsoft Office Word</Application>
  <DocSecurity>0</DocSecurity>
  <Lines>76</Lines>
  <Paragraphs>21</Paragraphs>
  <ScaleCrop>false</ScaleCrop>
  <Company>RevolucionUnattended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Victoria Zanon</cp:lastModifiedBy>
  <cp:revision>2</cp:revision>
  <dcterms:created xsi:type="dcterms:W3CDTF">2015-05-29T15:53:00Z</dcterms:created>
  <dcterms:modified xsi:type="dcterms:W3CDTF">2015-05-29T15:53:00Z</dcterms:modified>
</cp:coreProperties>
</file>