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Normal"/>
        <w:spacing w:before="0" w:after="0"/>
        <w:jc w:val="center"/>
        <w:rPr/>
      </w:pPr>
      <w:r>
        <w:rPr>
          <w:b/>
          <w:position w:val="0"/>
          <w:sz w:val="24"/>
          <w:sz w:val="24"/>
          <w:vertAlign w:val="baseline"/>
        </w:rPr>
        <w:t>DEPARTAMENTO DE FORMACIÓN GENERAL</w:t>
      </w:r>
    </w:p>
    <w:p>
      <w:pPr>
        <w:pStyle w:val="Normal"/>
        <w:spacing w:before="0" w:after="0"/>
        <w:jc w:val="center"/>
        <w:rPr>
          <w:b/>
          <w:b/>
          <w:position w:val="0"/>
          <w:sz w:val="24"/>
          <w:sz w:val="24"/>
          <w:vertAlign w:val="baseline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position w:val="0"/>
          <w:sz w:val="24"/>
          <w:sz w:val="24"/>
          <w:vertAlign w:val="baseline"/>
        </w:rPr>
        <w:t xml:space="preserve">ALUMNOS REGULARES PLANES 564/10 y DNGU </w:t>
      </w:r>
    </w:p>
    <w:p>
      <w:pPr>
        <w:pStyle w:val="Normal"/>
        <w:spacing w:before="0" w:after="0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tbl>
      <w:tblPr>
        <w:tblW w:w="10618" w:type="dxa"/>
        <w:jc w:val="left"/>
        <w:tblInd w:w="-1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9"/>
        <w:gridCol w:w="1833"/>
        <w:gridCol w:w="1180"/>
        <w:gridCol w:w="997"/>
        <w:gridCol w:w="835"/>
        <w:gridCol w:w="3964"/>
      </w:tblGrid>
      <w:tr>
        <w:trPr>
          <w:trHeight w:val="20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ASIGNATURAS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RESOLUCION 564/10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ASIGNATURAS RESOLUCION DNGU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HORA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AULA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TRIBUNAL-Profesores:</w:t>
            </w:r>
          </w:p>
        </w:tc>
      </w:tr>
      <w:tr>
        <w:trPr>
          <w:trHeight w:val="62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Psicología 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Psicología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08-08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9:00 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Larrarte Ma. Isabel-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Tejerina Anahí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Gastón Santamaria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Planas Patricia</w:t>
            </w:r>
          </w:p>
        </w:tc>
      </w:tr>
      <w:tr>
        <w:trPr>
          <w:trHeight w:val="62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Dinámica Grupal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Dinámica Grupal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08-08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Miércoles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17:00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Larrarte Ma. Isabel-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Tejerina Anahí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Gastón Santamaria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Planas Patricia</w:t>
            </w:r>
          </w:p>
        </w:tc>
      </w:tr>
      <w:tr>
        <w:trPr>
          <w:trHeight w:val="56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Historia de las Artes Comparadas I 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Historia Sociocultural de las Artes I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09-08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11:00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Speciale Carla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Bollini Horacio  Integrantes tribunal: Miranda Martin                               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Suplente: Picco Agustin</w:t>
            </w:r>
          </w:p>
        </w:tc>
      </w:tr>
      <w:tr>
        <w:trPr>
          <w:trHeight w:val="60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Historia de las Artes Comparadas  II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Historia Sociocultural de las Artes II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09-08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14:00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Speciale Carla </w:t>
            </w: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Bollini Horacio Integrantes tribunal: Martin Miranda                             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Suplente:Picco Agustin</w:t>
            </w:r>
          </w:p>
        </w:tc>
      </w:tr>
      <w:tr>
        <w:trPr>
          <w:trHeight w:val="60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Filosofía de la Cultura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10-08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11:00 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Bollini Horacio -  </w:t>
            </w: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Speciale Carla    - Mariana Cordero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Suplente: Rodriguez Alicia</w:t>
            </w:r>
          </w:p>
        </w:tc>
      </w:tr>
      <w:tr>
        <w:trPr>
          <w:trHeight w:val="88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Estética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10-08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14:00 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Bollini Horacio </w:t>
            </w: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Speciale Carla Integrantes tribunal:Cordero Mariana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Suplente:  Rodriguez                             </w:t>
            </w:r>
          </w:p>
        </w:tc>
      </w:tr>
      <w:tr>
        <w:trPr>
          <w:trHeight w:val="64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Historia de las Artes Comparadas I 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Historia Sociocultural de las Artes I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09-08 Jueves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11:00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Torres Gerardo </w:t>
            </w:r>
          </w:p>
          <w:p>
            <w:pPr>
              <w:pStyle w:val="Normal"/>
              <w:spacing w:before="0" w:after="0"/>
              <w:rPr/>
            </w:pPr>
            <w:bookmarkStart w:id="0" w:name="_gjdgxs"/>
            <w:bookmarkEnd w:id="0"/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Integrantes tribunal:Quiroga Ingrid - Alarcon Jorge</w:t>
            </w:r>
            <w:r>
              <w:rPr>
                <w:position w:val="0"/>
                <w:sz w:val="24"/>
                <w:sz w:val="24"/>
                <w:vertAlign w:val="baseline"/>
              </w:rPr>
              <w:br/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Sup. Gabriela Sacks</w:t>
            </w:r>
          </w:p>
        </w:tc>
      </w:tr>
      <w:tr>
        <w:trPr>
          <w:trHeight w:val="64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Historia de las Artes Comparadas II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Historia Sociocultural de las Artes II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09-08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Jueves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14:00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Torres Gerardo </w:t>
            </w:r>
          </w:p>
          <w:p>
            <w:pPr>
              <w:pStyle w:val="Normal"/>
              <w:spacing w:before="0" w:after="0"/>
              <w:rPr/>
            </w:pPr>
            <w:bookmarkStart w:id="1" w:name="_30j0zll"/>
            <w:bookmarkEnd w:id="1"/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Integrantes tribunal: Quiroga Ingrid - Alarcon Jorge</w:t>
            </w:r>
            <w:r>
              <w:rPr>
                <w:position w:val="0"/>
                <w:sz w:val="24"/>
                <w:sz w:val="24"/>
                <w:vertAlign w:val="baseline"/>
              </w:rPr>
              <w:br/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Sup.Gabriela Sacks</w:t>
            </w:r>
          </w:p>
        </w:tc>
      </w:tr>
    </w:tbl>
    <w:tbl>
      <w:tblPr>
        <w:tblW w:w="10618" w:type="dxa"/>
        <w:jc w:val="left"/>
        <w:tblInd w:w="-1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9"/>
        <w:gridCol w:w="1833"/>
        <w:gridCol w:w="1180"/>
        <w:gridCol w:w="997"/>
        <w:gridCol w:w="835"/>
        <w:gridCol w:w="3964"/>
      </w:tblGrid>
      <w:tr>
        <w:trPr>
          <w:trHeight w:val="64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Filosofía de la Cultura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10-08</w:t>
            </w:r>
          </w:p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11:00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Torres Gerardo </w:t>
            </w:r>
          </w:p>
          <w:p>
            <w:pPr>
              <w:pStyle w:val="Normal"/>
              <w:spacing w:before="0" w:after="0"/>
              <w:rPr/>
            </w:pPr>
            <w:bookmarkStart w:id="2" w:name="_1fob9te"/>
            <w:bookmarkEnd w:id="2"/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Integrantes tribunal: Rousseau Sol - A</w:t>
            </w:r>
            <w:r>
              <w:rPr>
                <w:rFonts w:eastAsia="Arial" w:cs="Arial" w:ascii="Arial" w:hAnsi="Arial"/>
                <w:sz w:val="22"/>
                <w:szCs w:val="22"/>
              </w:rPr>
              <w:t>larcon Jorge</w:t>
            </w:r>
            <w:r>
              <w:rPr>
                <w:position w:val="0"/>
                <w:sz w:val="24"/>
                <w:sz w:val="24"/>
                <w:vertAlign w:val="baseline"/>
              </w:rPr>
              <w:br/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Sup. Muñiz Silvia</w:t>
            </w:r>
          </w:p>
        </w:tc>
      </w:tr>
      <w:tr>
        <w:trPr>
          <w:trHeight w:val="64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Estética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Filosofía del Arte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10-08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Viernes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11:00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szCs w:val="22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Titular de Comisión: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Torres Gerardo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Integrantes tribunal: Sol Rousseau - Alarcon Jorge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Sup.Muñiz Silvia</w:t>
            </w:r>
          </w:p>
        </w:tc>
      </w:tr>
      <w:tr>
        <w:trPr>
          <w:trHeight w:val="64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Pedagogía y Didáctica Gral.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Pedagogía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06-08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Lunes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9:00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Rodríguez Alicia –</w:t>
            </w: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Dimarco Claudia – </w:t>
            </w:r>
          </w:p>
          <w:p>
            <w:pPr>
              <w:pStyle w:val="Normal"/>
              <w:spacing w:before="0" w:after="0"/>
              <w:rPr/>
            </w:pPr>
            <w:bookmarkStart w:id="3" w:name="_3znysh7"/>
            <w:bookmarkEnd w:id="3"/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Deborah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Casanova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  <w:r>
              <w:rPr>
                <w:position w:val="0"/>
                <w:sz w:val="24"/>
                <w:sz w:val="24"/>
                <w:vertAlign w:val="baseline"/>
              </w:rPr>
              <w:br/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</w:rPr>
              <w:t>Muñiz Silvia</w:t>
            </w:r>
          </w:p>
        </w:tc>
      </w:tr>
      <w:tr>
        <w:trPr>
          <w:trHeight w:val="50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-------------------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Didáctica General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06-08</w:t>
            </w:r>
          </w:p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Lunes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  <w:t>14:00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108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107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Rodríguez Alicia –</w:t>
            </w: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Dimarco Claudia – </w:t>
            </w:r>
          </w:p>
          <w:p>
            <w:pPr>
              <w:pStyle w:val="Normal"/>
              <w:spacing w:before="0" w:after="0"/>
              <w:rPr/>
            </w:pPr>
            <w:bookmarkStart w:id="4" w:name="_jmi6y35wmaxh"/>
            <w:bookmarkEnd w:id="4"/>
            <w:r>
              <w:rPr>
                <w:rFonts w:eastAsia="Arial" w:cs="Arial" w:ascii="Arial" w:hAnsi="Arial"/>
                <w:b/>
                <w:sz w:val="22"/>
                <w:szCs w:val="22"/>
              </w:rPr>
              <w:t xml:space="preserve">Titular de Comisión: </w:t>
            </w:r>
            <w:r>
              <w:rPr>
                <w:rFonts w:eastAsia="Arial" w:cs="Arial" w:ascii="Arial" w:hAnsi="Arial"/>
                <w:sz w:val="22"/>
                <w:szCs w:val="22"/>
              </w:rPr>
              <w:t>Deborah Casanova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sz w:val="22"/>
                <w:szCs w:val="22"/>
              </w:rPr>
            </w:pPr>
            <w:bookmarkStart w:id="5" w:name="_3znysh71"/>
            <w:bookmarkStart w:id="6" w:name="_3znysh71"/>
            <w:bookmarkEnd w:id="6"/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Suplente: </w:t>
            </w:r>
            <w:r>
              <w:rPr>
                <w:rFonts w:eastAsia="Arial" w:cs="Arial" w:ascii="Arial" w:hAnsi="Arial"/>
                <w:sz w:val="22"/>
                <w:szCs w:val="22"/>
              </w:rPr>
              <w:t>Muñiz Silvia</w:t>
            </w:r>
          </w:p>
        </w:tc>
      </w:tr>
      <w:tr>
        <w:trPr>
          <w:trHeight w:val="50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Problemática Educativa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-----------------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06-08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Lunes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9:00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sz w:val="22"/>
                <w:szCs w:val="22"/>
              </w:rPr>
              <w:t>Deborah Casanova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- 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Integrantes tribunal: -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Dimarco Claudia    - Rodriguez Alicia            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Suplente: Celeste Belenguer</w:t>
            </w:r>
          </w:p>
        </w:tc>
      </w:tr>
      <w:tr>
        <w:trPr>
          <w:trHeight w:val="500" w:hRule="atLeast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b/>
                <w:b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>Derechos Humanos, Cívicos y del Artista</w:t>
            </w:r>
          </w:p>
        </w:tc>
        <w:tc>
          <w:tcPr>
            <w:tcW w:w="18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color w:val="548DD4"/>
                <w:position w:val="0"/>
                <w:sz w:val="22"/>
                <w:sz w:val="22"/>
                <w:szCs w:val="22"/>
                <w:vertAlign w:val="baseline"/>
              </w:rPr>
              <w:t>--------------------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07-08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Martes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18:00</w:t>
            </w:r>
          </w:p>
        </w:tc>
        <w:tc>
          <w:tcPr>
            <w:tcW w:w="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Arial" w:hAnsi="Arial" w:eastAsia="Arial" w:cs="Arial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sz w:val="24"/>
                <w:vertAlign w:val="baseline"/>
              </w:rPr>
              <w:t>109</w:t>
            </w:r>
          </w:p>
        </w:tc>
        <w:tc>
          <w:tcPr>
            <w:tcW w:w="39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 xml:space="preserve">Rinner Susana </w:t>
            </w:r>
            <w:r>
              <w:rPr>
                <w:rFonts w:eastAsia="Arial" w:cs="Arial" w:ascii="Arial" w:hAnsi="Arial"/>
                <w:b/>
                <w:position w:val="0"/>
                <w:sz w:val="22"/>
                <w:sz w:val="22"/>
                <w:szCs w:val="22"/>
                <w:vertAlign w:val="baseline"/>
              </w:rPr>
              <w:t xml:space="preserve">Titular de Comisión: </w:t>
            </w: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Filipic Martin – Integrantes tribunal: Pablo Ais</w:t>
            </w:r>
          </w:p>
          <w:p>
            <w:pPr>
              <w:pStyle w:val="Normal"/>
              <w:spacing w:before="0" w:after="0"/>
              <w:rPr>
                <w:rFonts w:ascii="Arial" w:hAnsi="Arial" w:eastAsia="Arial" w:cs="Arial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2"/>
                <w:sz w:val="22"/>
                <w:szCs w:val="22"/>
                <w:vertAlign w:val="baseline"/>
              </w:rPr>
              <w:t>Suplente: Rodriguez Alicia</w:t>
            </w:r>
          </w:p>
        </w:tc>
      </w:tr>
    </w:tbl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hd w:fill="FFFFFF" w:val="clear"/>
        <w:spacing w:before="0" w:after="0"/>
        <w:rPr>
          <w:rFonts w:ascii="Arial" w:hAnsi="Arial" w:eastAsia="Arial" w:cs="Arial"/>
          <w:color w:val="222222"/>
          <w:position w:val="0"/>
          <w:sz w:val="19"/>
          <w:sz w:val="19"/>
          <w:szCs w:val="19"/>
          <w:vertAlign w:val="baseline"/>
        </w:rPr>
      </w:pPr>
      <w:r>
        <w:rPr>
          <w:rFonts w:eastAsia="Arial" w:cs="Arial" w:ascii="Arial" w:hAnsi="Arial"/>
          <w:color w:val="222222"/>
          <w:position w:val="0"/>
          <w:sz w:val="19"/>
          <w:sz w:val="19"/>
          <w:szCs w:val="19"/>
          <w:vertAlign w:val="baseline"/>
        </w:rPr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3860800" cy="73914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84" r="-17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3"/>
      <w:headerReference w:type="default" r:id="rId4"/>
      <w:type w:val="nextPage"/>
      <w:pgSz w:w="11906" w:h="16838"/>
      <w:pgMar w:left="510" w:right="567" w:header="1134" w:top="1191" w:footer="0" w:bottom="1134" w:gutter="0"/>
      <w:pgNumType w:start="1"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before="0" w:after="0"/>
      <w:jc w:val="left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1033780</wp:posOffset>
              </wp:positionH>
              <wp:positionV relativeFrom="paragraph">
                <wp:posOffset>869950</wp:posOffset>
              </wp:positionV>
              <wp:extent cx="4363085" cy="1765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2480" cy="17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bidi w:val="0"/>
                            <w:rPr/>
                          </w:pPr>
                          <w:r>
                            <w:rPr>
                              <w:sz w:val="24"/>
                              <w:szCs w:val="24"/>
                              <w:rFonts w:ascii="Liberation Serif;Times New Roman" w:hAnsi="Liberation Serif;Times New Roman" w:eastAsia="SimSun" w:cs="Arial"/>
                              <w:color w:val="auto"/>
                              <w:lang w:val="es-AR" w:eastAsia="zh-CN" w:bidi="hi-IN"/>
                            </w:rPr>
                            <w:t xml:space="preserve">DEPARTAMENTO DE FORMACIÓN GENERAL – 2018 - </w:t>
                          </w:r>
                        </w:p>
                      </w:txbxContent>
                    </wps:txbx>
                    <wps:bodyPr wrap="square"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margin-left:81.4pt;margin-top:68.5pt;width:343.45pt;height:13.8pt" type="shapetype_202">
              <v:textbox>
                <w:txbxContent>
                  <w:p>
                    <w:pPr>
                      <w:overflowPunct w:val="false"/>
                      <w:bidi w:val="0"/>
                      <w:rPr/>
                    </w:pPr>
                    <w:r>
                      <w:rPr>
                        <w:sz w:val="24"/>
                        <w:szCs w:val="24"/>
                        <w:rFonts w:ascii="Liberation Serif;Times New Roman" w:hAnsi="Liberation Serif;Times New Roman" w:eastAsia="SimSun" w:cs="Arial"/>
                        <w:color w:val="auto"/>
                        <w:lang w:val="es-AR" w:eastAsia="zh-CN" w:bidi="hi-IN"/>
                      </w:rPr>
                      <w:t xml:space="preserve">DEPARTAMENTO DE FORMACIÓN GENERAL – 2018 - </w:t>
                    </w:r>
                  </w:p>
                </w:txbxContent>
              </v:textbox>
              <w10:wrap type="square"/>
              <v:fill o:detectmouseclick="t" on="false"/>
              <v:stroke color="#3465a4" joinstyle="round" endcap="flat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before="0" w:after="0"/>
      <w:jc w:val="left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070610" cy="1122045"/>
          <wp:effectExtent l="0" t="0" r="0" b="0"/>
          <wp:wrapSquare wrapText="largest"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122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WenQuanYi Micro Hei" w:cs="Lohit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LOnormal"/>
    <w:next w:val="Normal"/>
    <w:qFormat/>
    <w:pPr>
      <w:keepNext/>
      <w:keepLines/>
      <w:numPr>
        <w:ilvl w:val="0"/>
        <w:numId w:val="1"/>
      </w:numPr>
      <w:spacing w:lineRule="auto" w:line="240" w:before="480" w:after="120"/>
      <w:outlineLvl w:val="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Normal"/>
    <w:qFormat/>
    <w:pPr>
      <w:keepNext/>
      <w:keepLines/>
      <w:numPr>
        <w:ilvl w:val="1"/>
        <w:numId w:val="1"/>
      </w:numPr>
      <w:spacing w:lineRule="auto" w:line="240" w:before="360" w:after="80"/>
      <w:outlineLvl w:val="1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Normal"/>
    <w:qFormat/>
    <w:pPr>
      <w:keepNext/>
      <w:keepLines/>
      <w:numPr>
        <w:ilvl w:val="2"/>
        <w:numId w:val="1"/>
      </w:numPr>
      <w:spacing w:lineRule="auto" w:line="240" w:before="280" w:after="80"/>
      <w:outlineLvl w:val="2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Normal"/>
    <w:qFormat/>
    <w:pPr>
      <w:keepNext/>
      <w:keepLines/>
      <w:numPr>
        <w:ilvl w:val="3"/>
        <w:numId w:val="1"/>
      </w:numPr>
      <w:spacing w:lineRule="auto" w:line="240" w:before="240" w:after="40"/>
      <w:outlineLvl w:val="3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Normal"/>
    <w:qFormat/>
    <w:pPr>
      <w:keepNext/>
      <w:keepLines/>
      <w:numPr>
        <w:ilvl w:val="4"/>
        <w:numId w:val="1"/>
      </w:numPr>
      <w:spacing w:lineRule="auto" w:line="240" w:before="220" w:after="40"/>
      <w:outlineLvl w:val="4"/>
      <w:outlineLvl w:val="4"/>
    </w:pPr>
    <w:rPr>
      <w:b/>
      <w:sz w:val="22"/>
      <w:szCs w:val="22"/>
    </w:rPr>
  </w:style>
  <w:style w:type="paragraph" w:styleId="Heading6">
    <w:name w:val="Heading 6"/>
    <w:basedOn w:val="LOnormal"/>
    <w:next w:val="Normal"/>
    <w:qFormat/>
    <w:pPr>
      <w:keepNext/>
      <w:keepLines/>
      <w:numPr>
        <w:ilvl w:val="5"/>
        <w:numId w:val="1"/>
      </w:numPr>
      <w:spacing w:lineRule="auto" w:line="240" w:before="200" w:after="40"/>
      <w:outlineLvl w:val="5"/>
      <w:outlineLvl w:val="5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WenQuanYi Micro Hei" w:cs="Lohit Devanagari"/>
      <w:color w:val="00000A"/>
      <w:sz w:val="24"/>
      <w:szCs w:val="24"/>
      <w:lang w:val="en-US" w:eastAsia="zh-CN" w:bidi="hi-IN"/>
    </w:rPr>
  </w:style>
  <w:style w:type="paragraph" w:styleId="Ttulo">
    <w:name w:val="Título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414" w:leader="none"/>
        <w:tab w:val="right" w:pos="10829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LibreOffice/5.3.2.2$Linux_X86_64 LibreOffice_project/30m0$Build-2</Application>
  <Pages>3</Pages>
  <Words>427</Words>
  <Characters>2616</Characters>
  <CharactersWithSpaces>3032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es-AR</dc:language>
  <cp:lastModifiedBy/>
  <dcterms:modified xsi:type="dcterms:W3CDTF">2018-06-07T08:55:02Z</dcterms:modified>
  <cp:revision>4</cp:revision>
  <dc:subject/>
  <dc:title/>
</cp:coreProperties>
</file>