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Carta abierta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Al claustro docente del IUPA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 xml:space="preserve">Por la presente, la Secretaría de Investigación, Creación Artística y Posgrado invita al claustro docente a una charla informativa que se realizará el </w:t>
      </w:r>
      <w:r>
        <w:rPr>
          <w:rFonts w:cs="Arial" w:ascii="Arial" w:hAnsi="Arial"/>
          <w:b/>
          <w:bCs/>
          <w:sz w:val="24"/>
          <w:szCs w:val="24"/>
          <w:u w:val="single"/>
          <w:lang w:val="es-AR"/>
        </w:rPr>
        <w:t>viernes 15 de noviembre de 16 a 18 en el Hall del Museo Patagónico de Ciencias Naturales (sede IUPA)</w:t>
      </w:r>
      <w:r>
        <w:rPr>
          <w:rFonts w:cs="Arial" w:ascii="Arial" w:hAnsi="Arial"/>
          <w:sz w:val="24"/>
          <w:szCs w:val="24"/>
          <w:lang w:val="es-AR"/>
        </w:rPr>
        <w:t>.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La charla tiene por principales propósitos i) informar sobre los procedimientos de diagnóstico y archivo que incumben a la Secretaría; ii) detallar los particulares de las convocatorias para el bienio 2020-2021, tanto a Proyectos de Investigación [PI] como a Proyectos Multilaterales de Investigación [PMI]; iii) presentar testimonios del núcleo de docentes-investigadores de la Casa, quienes se desempeñan enmarcados en la estructura institucional; iv) exponer necesidades y lineamientos básicos de la investigación en artes en el ámbito nacional.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La actividad es gratuita y abierta, pero requiere de inscripción previa a través de un formulario digital accesible en el espacio de la noticia sobre esta charla en el portal. Asimismo, rogamos que asistan habiendo leído los instructivos de las convocatorias y el Cronograma 2019-2020.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 xml:space="preserve">Como es sabido, la Secretaría desarrolla una labor sostenida con equipos de investigación que desde hace ocho ciclos procuran identificarse y denominar sus incógnitas no ya con un metalenguaje, sino con un “infralenguaje”. También es sabido que las ciencias, con sus lenguajes de especialidad y sus metodologías, han normalizado los procedimientos propios del quehacer de la investigación en el nivel superior. Por ello, nuestros docentes-investigadores vienen trabajando para forjar lo que denominamos un “infralenguaje”, a modo de alternativa en convivencia con las determinaciones del régimen cientificista. 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 xml:space="preserve">Sabemos asimismo que, a toda sociedad, en cuanto resultado de continuos movimientos de re-asociación y reensamblado, escapa la posibilidad de una autodefinición. Sin embargo, esta Secretaría se ha propuesto una labor de auto-reconocimiento hacia el interior de nuestros equipos de investigación. Desde la Secretaría, entendemos la urgencia de “traducirnos” a los cánones que se nos imponen con el acceso del IUPA al ámbito de la educación superior; nos aventuramos a pensar – junto con el filósofo de la ciencia Bruno Latour – que fracturas del tipo “ciencia </w:t>
      </w:r>
      <w:r>
        <w:rPr>
          <w:rFonts w:cs="Arial" w:ascii="Arial" w:hAnsi="Arial"/>
          <w:i/>
          <w:sz w:val="24"/>
          <w:szCs w:val="24"/>
          <w:lang w:val="es-AR"/>
        </w:rPr>
        <w:t>versus</w:t>
      </w:r>
      <w:r>
        <w:rPr>
          <w:rFonts w:cs="Arial" w:ascii="Arial" w:hAnsi="Arial"/>
          <w:sz w:val="24"/>
          <w:szCs w:val="24"/>
          <w:lang w:val="es-AR"/>
        </w:rPr>
        <w:t xml:space="preserve"> arte” pueden ser superadas por “hechos de traducción” en términos de “relaciones que inducen a dos mediadores a coexistir”. Así, y como en todo acto de solidaridad epistémica, ni se particionan dominios sociales, ni se perimen vínculos gnoseológicos porque “las traducciones entre mediadores generan asociaciones”. 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Ahora bien, es posible cuestionarse: ¿de qué maneras hay “traducción” entre ciencia y arte?, ¿de qué maneras soy un “mediador” entre estos dominios?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 xml:space="preserve">Desde la Secretaría, vamos a responder </w:t>
      </w:r>
      <w:r>
        <w:rPr>
          <w:rFonts w:cs="Arial" w:ascii="Arial" w:hAnsi="Arial"/>
          <w:i/>
          <w:sz w:val="24"/>
          <w:szCs w:val="24"/>
          <w:lang w:val="es-AR"/>
        </w:rPr>
        <w:t>in extenso</w:t>
      </w:r>
      <w:r>
        <w:rPr>
          <w:rFonts w:cs="Arial" w:ascii="Arial" w:hAnsi="Arial"/>
          <w:sz w:val="24"/>
          <w:szCs w:val="24"/>
          <w:lang w:val="es-AR"/>
        </w:rPr>
        <w:t>. En primer lugar, diremos que respetamos la diversidad de pareceres, específicamente de aquellos que pueden advertir que “no hay reglas de traducción ante la inconmensurabilidad” entre sistemas de creencias y valores. No obstante, señalamos, en segundo lugar, que lo más valioso de la mente creativa – y aquello por lo que puede denominarse “creativa” – es su capacidad de abstraerse y proyectarse, mostrando principios, modelos, normas y ejemplos comunes a las ciencias y las artes.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La conformación de equipos de investigación en artes, el diseño de proyectos de investigación y proyectos multilaterales de investigación que remedan los principios, los modelos, las normas y los ejemplos de las ciencias – lo que incluye los procedimientos de diagnóstico y archivo que lleva adelante esta Secretaría – son todos “hechos de traducción” a “las ciencias de las artes”.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Es posible afrontar los desafíos de la inconmensurabilidad, como es posible mediar, relacionarse y traducir en escenarios de diferencias entre sistemas de creencias y valores.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La Secretaría de Investigación, Creación Artística y Posgrado se dispone a continuar ampliando su respuesta, y quiere compartirles detalles y relatos de la desafiante aventura de “las ciencias de las artes”. Por ello, y para convidarlos a que postulen a las convocatorias para el bienio 2020-2021, los citamos próximamente.</w:t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ind w:firstLine="1701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>Cordiales saludos al claustro docente de la Casa.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sz w:val="24"/>
          <w:szCs w:val="24"/>
          <w:lang w:val="es-AR"/>
        </w:rPr>
        <w:t xml:space="preserve">      </w:t>
      </w:r>
      <w:r>
        <w:rPr>
          <w:rFonts w:cs="Arial" w:ascii="Arial" w:hAnsi="Arial"/>
          <w:sz w:val="24"/>
          <w:szCs w:val="24"/>
          <w:lang w:val="es-AR"/>
        </w:rPr>
        <w:drawing>
          <wp:inline distT="0" distB="0" distL="0" distR="0">
            <wp:extent cx="2501265" cy="1209040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567"/>
        <w:rPr>
          <w:rFonts w:ascii="Arial" w:hAnsi="Arial" w:cs="Arial"/>
          <w:sz w:val="20"/>
          <w:szCs w:val="20"/>
          <w:lang w:val="es-AR"/>
        </w:rPr>
      </w:pPr>
      <w:r>
        <w:rPr>
          <w:rFonts w:cs="Arial" w:ascii="Arial" w:hAnsi="Arial"/>
          <w:sz w:val="20"/>
          <w:szCs w:val="20"/>
          <w:lang w:val="es-AR"/>
        </w:rPr>
        <w:t>Dra. María Inés Arrizabalaga</w:t>
      </w:r>
    </w:p>
    <w:p>
      <w:pPr>
        <w:pStyle w:val="Normal"/>
        <w:spacing w:lineRule="auto" w:line="360" w:before="0" w:after="0"/>
        <w:ind w:firstLine="567"/>
        <w:rPr/>
      </w:pPr>
      <w:r>
        <w:rPr>
          <w:rFonts w:cs="Arial" w:ascii="Arial" w:hAnsi="Arial"/>
          <w:sz w:val="20"/>
          <w:szCs w:val="20"/>
          <w:lang w:val="es-AR"/>
        </w:rPr>
        <w:t>a / c Secretaría de Investigación, Cre</w:t>
      </w:r>
      <w:bookmarkStart w:id="0" w:name="_GoBack"/>
      <w:bookmarkEnd w:id="0"/>
      <w:r>
        <w:rPr>
          <w:rFonts w:cs="Arial" w:ascii="Arial" w:hAnsi="Arial"/>
          <w:sz w:val="20"/>
          <w:szCs w:val="20"/>
          <w:lang w:val="es-AR"/>
        </w:rPr>
        <w:t>ación Artística y Posgrado</w:t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A"/>
      </w:pBdr>
      <w:rPr>
        <w:rFonts w:ascii="Arial" w:hAnsi="Arial" w:cs="Arial"/>
        <w:b/>
        <w:b/>
        <w:bCs/>
        <w:lang w:val="es-AR"/>
      </w:rPr>
    </w:pPr>
    <w:r>
      <w:rPr>
        <w:rFonts w:cs="Arial" w:ascii="Arial" w:hAnsi="Arial"/>
        <w:b/>
        <w:bCs/>
        <w:lang w:val="es-AR"/>
      </w:rPr>
      <w:t>INSTITUTO UNIVERSITARIO PATAGÓNICO DE LAS ARTES</w:t>
    </w:r>
  </w:p>
  <w:p>
    <w:pPr>
      <w:pStyle w:val="Header"/>
      <w:pBdr>
        <w:bottom w:val="single" w:sz="4" w:space="1" w:color="00000A"/>
      </w:pBdr>
      <w:ind w:left="2160" w:hanging="2160"/>
      <w:rPr>
        <w:rFonts w:ascii="Arial" w:hAnsi="Arial" w:cs="Arial"/>
        <w:bCs/>
        <w:lang w:val="es-AR"/>
      </w:rPr>
    </w:pPr>
    <w:r>
      <w:rPr>
        <w:rFonts w:cs="Arial" w:ascii="Arial" w:hAnsi="Arial"/>
        <w:bCs/>
        <w:lang w:val="es-AR"/>
      </w:rPr>
      <w:t>General Roca, Río Negro, Argentina</w:t>
    </w:r>
  </w:p>
  <w:p>
    <w:pPr>
      <w:pStyle w:val="Header"/>
      <w:pBdr>
        <w:bottom w:val="single" w:sz="4" w:space="1" w:color="00000A"/>
      </w:pBdr>
      <w:ind w:left="2160" w:hanging="2160"/>
      <w:rPr>
        <w:rFonts w:ascii="Arial" w:hAnsi="Arial" w:cs="Arial"/>
        <w:bCs/>
        <w:lang w:val="es-AR"/>
      </w:rPr>
    </w:pPr>
    <w:r>
      <w:rPr>
        <w:rFonts w:cs="Arial" w:ascii="Arial" w:hAnsi="Arial"/>
        <w:bCs/>
        <w:lang w:val="es-AR"/>
      </w:rPr>
    </w:r>
  </w:p>
  <w:p>
    <w:pPr>
      <w:pStyle w:val="Normal"/>
      <w:rPr>
        <w:rFonts w:ascii="Helvetica" w:hAnsi="Helvetica" w:cs="Times New Roman"/>
        <w:sz w:val="24"/>
        <w:szCs w:val="20"/>
        <w:lang w:val="es-AR"/>
      </w:rPr>
    </w:pPr>
    <w:r>
      <w:rPr>
        <w:rFonts w:cs="Times New Roman" w:ascii="Helvetica" w:hAnsi="Helvetica"/>
        <w:sz w:val="24"/>
        <w:szCs w:val="20"/>
        <w:lang w:val="es-AR"/>
      </w:rPr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3284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3284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cabezadoCar"/>
    <w:uiPriority w:val="99"/>
    <w:unhideWhenUsed/>
    <w:rsid w:val="007328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7328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976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LibreOffice/5.3.2.2$Linux_X86_64 LibreOffice_project/30m0$Build-2</Application>
  <Pages>3</Pages>
  <Words>657</Words>
  <Characters>3753</Characters>
  <CharactersWithSpaces>4407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2017-11-06T16:30:00Z</dcterms:created>
  <dc:creator>MariaInes</dc:creator>
  <dc:description/>
  <dc:language>es-AR</dc:language>
  <cp:lastModifiedBy/>
  <cp:lastPrinted>2017-11-06T21:42:00Z</cp:lastPrinted>
  <dcterms:modified xsi:type="dcterms:W3CDTF">2019-11-12T13:56:48Z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